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D649E" w:rsidTr="00BD649E">
        <w:trPr>
          <w:tblCellSpacing w:w="0" w:type="dxa"/>
          <w:jc w:val="center"/>
        </w:trPr>
        <w:tc>
          <w:tcPr>
            <w:tcW w:w="0" w:type="auto"/>
            <w:vAlign w:val="center"/>
            <w:hideMark/>
          </w:tcPr>
          <w:p w:rsidR="00BD649E" w:rsidRDefault="00BD649E">
            <w:pPr>
              <w:jc w:val="center"/>
              <w:rPr>
                <w:rFonts w:ascii="Arial" w:hAnsi="Arial" w:cs="Arial"/>
                <w:sz w:val="19"/>
                <w:szCs w:val="19"/>
              </w:rPr>
            </w:pPr>
            <w:r>
              <w:rPr>
                <w:rFonts w:ascii="Arial" w:hAnsi="Arial" w:cs="Arial"/>
                <w:sz w:val="19"/>
                <w:szCs w:val="19"/>
              </w:rPr>
              <w:t>If you can't see this newsletter properly </w:t>
            </w:r>
            <w:hyperlink r:id="rId5" w:history="1">
              <w:r>
                <w:rPr>
                  <w:rStyle w:val="Hyperlink"/>
                  <w:rFonts w:ascii="Arial" w:hAnsi="Arial" w:cs="Arial"/>
                  <w:sz w:val="19"/>
                  <w:szCs w:val="19"/>
                </w:rPr>
                <w:t>click here</w:t>
              </w:r>
            </w:hyperlink>
          </w:p>
        </w:tc>
      </w:tr>
    </w:tbl>
    <w:p w:rsidR="00BD649E" w:rsidRDefault="00BD649E" w:rsidP="00BD649E">
      <w:pPr>
        <w:jc w:val="center"/>
        <w:rPr>
          <w:rFonts w:ascii="Arial" w:hAnsi="Arial" w:cs="Arial"/>
        </w:rPr>
      </w:pPr>
    </w:p>
    <w:tbl>
      <w:tblPr>
        <w:tblW w:w="5000" w:type="pct"/>
        <w:jc w:val="center"/>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7968"/>
        <w:gridCol w:w="1992"/>
      </w:tblGrid>
      <w:tr w:rsidR="00BD649E" w:rsidTr="00BD649E">
        <w:trPr>
          <w:tblCellSpacing w:w="0" w:type="dxa"/>
          <w:jc w:val="center"/>
        </w:trPr>
        <w:tc>
          <w:tcPr>
            <w:tcW w:w="0" w:type="auto"/>
            <w:gridSpan w:val="2"/>
            <w:tcBorders>
              <w:top w:val="nil"/>
              <w:left w:val="nil"/>
              <w:bottom w:val="nil"/>
              <w:right w:val="nil"/>
            </w:tcBorders>
            <w:tcMar>
              <w:top w:w="300" w:type="dxa"/>
              <w:left w:w="300" w:type="dxa"/>
              <w:bottom w:w="300" w:type="dxa"/>
              <w:right w:w="300" w:type="dxa"/>
            </w:tcMar>
            <w:vAlign w:val="center"/>
            <w:hideMark/>
          </w:tcPr>
          <w:p w:rsidR="00BD649E" w:rsidRDefault="00BD649E">
            <w:pPr>
              <w:rPr>
                <w:rFonts w:ascii="Arial" w:hAnsi="Arial" w:cs="Arial"/>
                <w:sz w:val="38"/>
                <w:szCs w:val="38"/>
              </w:rPr>
            </w:pPr>
            <w:r>
              <w:rPr>
                <w:rFonts w:ascii="Arial" w:hAnsi="Arial" w:cs="Arial"/>
                <w:noProof/>
                <w:sz w:val="38"/>
                <w:szCs w:val="38"/>
              </w:rPr>
              <w:drawing>
                <wp:inline distT="0" distB="0" distL="0" distR="0" wp14:anchorId="432E1794" wp14:editId="5A4B659A">
                  <wp:extent cx="1095375" cy="762000"/>
                  <wp:effectExtent l="0" t="0" r="9525" b="0"/>
                  <wp:docPr id="2" name="Picture 2" descr="http://www.altro.co.il/assets/org_252/8/8/iram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 descr="http://www.altro.co.il/assets/org_252/8/8/irami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tc>
      </w:tr>
      <w:tr w:rsidR="00BD649E" w:rsidTr="00BD649E">
        <w:trPr>
          <w:tblCellSpacing w:w="0" w:type="dxa"/>
          <w:jc w:val="center"/>
        </w:trPr>
        <w:tc>
          <w:tcPr>
            <w:tcW w:w="4000" w:type="pct"/>
            <w:tcBorders>
              <w:top w:val="nil"/>
              <w:left w:val="nil"/>
              <w:bottom w:val="nil"/>
              <w:right w:val="nil"/>
            </w:tcBorders>
            <w:shd w:val="clear" w:color="auto" w:fill="9FCAF4"/>
            <w:tcMar>
              <w:top w:w="60" w:type="dxa"/>
              <w:left w:w="90" w:type="dxa"/>
              <w:bottom w:w="60" w:type="dxa"/>
              <w:right w:w="90" w:type="dxa"/>
            </w:tcMar>
            <w:vAlign w:val="center"/>
            <w:hideMark/>
          </w:tcPr>
          <w:p w:rsidR="00BD649E" w:rsidRDefault="00BD649E">
            <w:pPr>
              <w:rPr>
                <w:rFonts w:ascii="Arial" w:hAnsi="Arial" w:cs="Arial"/>
                <w:sz w:val="29"/>
                <w:szCs w:val="29"/>
              </w:rPr>
            </w:pPr>
            <w:r>
              <w:rPr>
                <w:rFonts w:ascii="Arial" w:hAnsi="Arial" w:cs="Arial"/>
                <w:sz w:val="29"/>
                <w:szCs w:val="29"/>
              </w:rPr>
              <w:t xml:space="preserve"> Sheikh Jarrah Eviction Update: </w:t>
            </w:r>
            <w:proofErr w:type="spellStart"/>
            <w:r>
              <w:rPr>
                <w:rFonts w:ascii="Arial" w:hAnsi="Arial" w:cs="Arial"/>
                <w:sz w:val="29"/>
                <w:szCs w:val="29"/>
              </w:rPr>
              <w:t>Shamnaseh</w:t>
            </w:r>
            <w:proofErr w:type="spellEnd"/>
            <w:r>
              <w:rPr>
                <w:rFonts w:ascii="Arial" w:hAnsi="Arial" w:cs="Arial"/>
                <w:sz w:val="29"/>
                <w:szCs w:val="29"/>
              </w:rPr>
              <w:t xml:space="preserve"> Family Loses Supreme Court Case</w:t>
            </w:r>
          </w:p>
        </w:tc>
        <w:tc>
          <w:tcPr>
            <w:tcW w:w="0" w:type="auto"/>
            <w:tcBorders>
              <w:top w:val="nil"/>
              <w:left w:val="nil"/>
              <w:bottom w:val="nil"/>
              <w:right w:val="nil"/>
            </w:tcBorders>
            <w:shd w:val="clear" w:color="auto" w:fill="9FCAF4"/>
            <w:vAlign w:val="center"/>
            <w:hideMark/>
          </w:tcPr>
          <w:p w:rsidR="00BD649E" w:rsidRDefault="00BD649E">
            <w:pPr>
              <w:jc w:val="right"/>
              <w:rPr>
                <w:rFonts w:ascii="Arial" w:hAnsi="Arial" w:cs="Arial"/>
                <w:sz w:val="29"/>
                <w:szCs w:val="29"/>
              </w:rPr>
            </w:pPr>
            <w:r>
              <w:rPr>
                <w:rFonts w:ascii="Arial" w:hAnsi="Arial" w:cs="Arial"/>
                <w:sz w:val="29"/>
                <w:szCs w:val="29"/>
              </w:rPr>
              <w:t>29/08/2013  </w:t>
            </w:r>
          </w:p>
        </w:tc>
      </w:tr>
      <w:tr w:rsidR="00BD649E" w:rsidTr="00BD649E">
        <w:trPr>
          <w:tblCellSpacing w:w="0" w:type="dxa"/>
          <w:jc w:val="center"/>
        </w:trPr>
        <w:tc>
          <w:tcPr>
            <w:tcW w:w="0" w:type="auto"/>
            <w:gridSpan w:val="2"/>
            <w:tcBorders>
              <w:top w:val="nil"/>
              <w:left w:val="nil"/>
              <w:bottom w:val="nil"/>
              <w:right w:val="nil"/>
            </w:tcBorders>
            <w:tcMar>
              <w:top w:w="150" w:type="dxa"/>
              <w:left w:w="150" w:type="dxa"/>
              <w:bottom w:w="150" w:type="dxa"/>
              <w:right w:w="150" w:type="dxa"/>
            </w:tcMar>
            <w:vAlign w:val="center"/>
            <w:hideMark/>
          </w:tcPr>
          <w:p w:rsidR="00BD649E" w:rsidRDefault="00BD649E">
            <w:pPr>
              <w:spacing w:after="150"/>
              <w:rPr>
                <w:rFonts w:ascii="Arial" w:hAnsi="Arial" w:cs="Arial"/>
              </w:rPr>
            </w:pPr>
            <w:r>
              <w:t xml:space="preserve">Today, the Supreme Court rejected the </w:t>
            </w:r>
            <w:proofErr w:type="spellStart"/>
            <w:r>
              <w:t>Shamnaseh</w:t>
            </w:r>
            <w:proofErr w:type="spellEnd"/>
            <w:r>
              <w:t xml:space="preserve"> family’s appeal against an eviction order from the General Custodian, concluding a several year legal battle to maintain their home in Sheikh Jarrah.  The 10 member family, composed of three generations, has now exhausted all legal channels in fighting to save the home in which they have resided since 1964. </w:t>
            </w:r>
            <w:r>
              <w:br/>
            </w:r>
            <w:r>
              <w:br/>
              <w:t xml:space="preserve">While the case has been officially handled by the General Custodian (responsible for overseeing the disposition of property determined to be under Jewish ownership prior to 1948), the driving force in the case has been Arieh King, a leader in the movement to establish settlements in East Jerusalem—particularly in the Historic Basin—who is now running for the Jerusalem City Council.  The General Custodian remained active in the case despite having identified the Jewish heirs of the property and completing the technical process required to release the property from under its purview.  The appellants’ lawyer claimed that the General Custodian had exceeded its authority to act by formally submitting the demand for the family's eviction to the Court.  </w:t>
            </w:r>
            <w:r>
              <w:br/>
            </w:r>
            <w:r>
              <w:br/>
              <w:t>In the last action prior to today’s decision, a year and a half ago, the District Court rejected the family’s claim of protected tenancy.  The Supreme Court judges acting today maintained that they were making their decision with “heavy heart”.  In order "to minimize damage to the  family", the Court permitted the family a year and a half to evacuate the premises, though they will no longer have recourse to legal channels to prevent the eventual eviction.</w:t>
            </w:r>
            <w:r>
              <w:rPr>
                <w:rFonts w:ascii="Arial" w:hAnsi="Arial" w:cs="Arial"/>
              </w:rPr>
              <w:t xml:space="preserve"> </w:t>
            </w:r>
            <w:r>
              <w:t xml:space="preserve">  </w:t>
            </w:r>
            <w:r>
              <w:br/>
            </w:r>
            <w:r>
              <w:br/>
              <w:t>Please address all inquiries to:</w:t>
            </w:r>
            <w:r>
              <w:br/>
            </w:r>
            <w:r>
              <w:br/>
            </w:r>
            <w:r>
              <w:rPr>
                <w:rStyle w:val="Strong"/>
              </w:rPr>
              <w:t>Betty Herschman</w:t>
            </w:r>
            <w:r>
              <w:br/>
            </w:r>
            <w:r>
              <w:rPr>
                <w:color w:val="000080"/>
              </w:rPr>
              <w:t>Director of International Relations &amp; Advocacy</w:t>
            </w:r>
            <w:r>
              <w:rPr>
                <w:color w:val="000080"/>
              </w:rPr>
              <w:br/>
              <w:t>Ir Amim (“City of Nations”)</w:t>
            </w:r>
            <w:r>
              <w:rPr>
                <w:color w:val="000080"/>
              </w:rPr>
              <w:br/>
              <w:t>27 King George St. POB 2239</w:t>
            </w:r>
            <w:r>
              <w:rPr>
                <w:color w:val="000080"/>
              </w:rPr>
              <w:br/>
              <w:t>Jerusalem, Israel 94581</w:t>
            </w:r>
            <w:r>
              <w:rPr>
                <w:color w:val="000080"/>
              </w:rPr>
              <w:br/>
              <w:t>Work: 972-2-6222-858 </w:t>
            </w:r>
            <w:r>
              <w:rPr>
                <w:rFonts w:ascii="Garamond" w:hAnsi="Garamond"/>
                <w:i/>
                <w:iCs/>
                <w:color w:val="000080"/>
              </w:rPr>
              <w:t>x106</w:t>
            </w:r>
            <w:r>
              <w:rPr>
                <w:rFonts w:ascii="Garamond" w:hAnsi="Garamond"/>
                <w:i/>
                <w:iCs/>
                <w:color w:val="000080"/>
              </w:rPr>
              <w:br/>
            </w:r>
            <w:r>
              <w:rPr>
                <w:color w:val="000080"/>
              </w:rPr>
              <w:t>Cell: 054-308-5096</w:t>
            </w:r>
            <w:r>
              <w:rPr>
                <w:color w:val="000080"/>
              </w:rPr>
              <w:br/>
            </w:r>
            <w:hyperlink r:id="rId7" w:tooltip="blocked::mailto:betty@ir-amim.org.il" w:history="1">
              <w:r>
                <w:rPr>
                  <w:rStyle w:val="Hyperlink"/>
                </w:rPr>
                <w:t>betty@ir-amim.org.il</w:t>
              </w:r>
              <w:r>
                <w:rPr>
                  <w:color w:val="0000FF"/>
                  <w:u w:val="single"/>
                </w:rPr>
                <w:br/>
              </w:r>
            </w:hyperlink>
            <w:hyperlink r:id="rId8" w:tooltip="blocked::blocked::http://www.ir-amim.org.il/&#10;blocked::http://www.ir-amim.org.il/" w:history="1">
              <w:r>
                <w:rPr>
                  <w:rStyle w:val="Hyperlink"/>
                </w:rPr>
                <w:t>www.ir-amim.org.il</w:t>
              </w:r>
            </w:hyperlink>
          </w:p>
        </w:tc>
      </w:tr>
      <w:tr w:rsidR="00BD649E" w:rsidTr="00BD649E">
        <w:trPr>
          <w:tblCellSpacing w:w="0" w:type="dxa"/>
          <w:jc w:val="center"/>
        </w:trPr>
        <w:tc>
          <w:tcPr>
            <w:tcW w:w="0" w:type="auto"/>
            <w:gridSpan w:val="2"/>
            <w:tcBorders>
              <w:top w:val="nil"/>
              <w:left w:val="nil"/>
              <w:bottom w:val="nil"/>
              <w:right w:val="nil"/>
            </w:tcBorders>
            <w:shd w:val="clear" w:color="auto" w:fill="91BD4E"/>
            <w:tcMar>
              <w:top w:w="30" w:type="dxa"/>
              <w:left w:w="30" w:type="dxa"/>
              <w:bottom w:w="30" w:type="dxa"/>
              <w:right w:w="30" w:type="dxa"/>
            </w:tcMar>
            <w:vAlign w:val="center"/>
            <w:hideMark/>
          </w:tcPr>
          <w:p w:rsidR="00BD649E" w:rsidRDefault="00BD649E">
            <w:pPr>
              <w:jc w:val="center"/>
              <w:rPr>
                <w:rFonts w:ascii="Arial" w:hAnsi="Arial" w:cs="Arial"/>
                <w:color w:val="FFFFFF"/>
                <w:sz w:val="19"/>
                <w:szCs w:val="19"/>
              </w:rPr>
            </w:pPr>
            <w:r>
              <w:rPr>
                <w:rFonts w:ascii="Arial" w:hAnsi="Arial" w:cs="Arial"/>
                <w:color w:val="FFFFFF"/>
                <w:sz w:val="19"/>
                <w:szCs w:val="19"/>
              </w:rPr>
              <w:t>If you wish to unsubscribe </w:t>
            </w:r>
            <w:hyperlink r:id="rId9" w:history="1">
              <w:r>
                <w:rPr>
                  <w:rStyle w:val="Hyperlink"/>
                  <w:rFonts w:ascii="Arial" w:hAnsi="Arial" w:cs="Arial"/>
                  <w:color w:val="FFFFFF"/>
                  <w:sz w:val="19"/>
                  <w:szCs w:val="19"/>
                </w:rPr>
                <w:t>click here</w:t>
              </w:r>
            </w:hyperlink>
          </w:p>
        </w:tc>
      </w:tr>
    </w:tbl>
    <w:p w:rsidR="00127610" w:rsidRDefault="00BD649E">
      <w:bookmarkStart w:id="0" w:name="_GoBack"/>
      <w:bookmarkEnd w:id="0"/>
    </w:p>
    <w:sectPr w:rsidR="0012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9E"/>
    <w:rsid w:val="002C1FAC"/>
    <w:rsid w:val="003853BC"/>
    <w:rsid w:val="004C784B"/>
    <w:rsid w:val="00511919"/>
    <w:rsid w:val="0051388B"/>
    <w:rsid w:val="00BD649E"/>
    <w:rsid w:val="00EF7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49E"/>
    <w:rPr>
      <w:color w:val="0000FF"/>
      <w:u w:val="single"/>
    </w:rPr>
  </w:style>
  <w:style w:type="character" w:styleId="Strong">
    <w:name w:val="Strong"/>
    <w:basedOn w:val="DefaultParagraphFont"/>
    <w:uiPriority w:val="22"/>
    <w:qFormat/>
    <w:rsid w:val="00BD649E"/>
    <w:rPr>
      <w:b/>
      <w:bCs/>
    </w:rPr>
  </w:style>
  <w:style w:type="paragraph" w:styleId="BalloonText">
    <w:name w:val="Balloon Text"/>
    <w:basedOn w:val="Normal"/>
    <w:link w:val="BalloonTextChar"/>
    <w:uiPriority w:val="99"/>
    <w:semiHidden/>
    <w:unhideWhenUsed/>
    <w:rsid w:val="00BD649E"/>
    <w:rPr>
      <w:rFonts w:ascii="Tahoma" w:hAnsi="Tahoma" w:cs="Tahoma"/>
      <w:sz w:val="16"/>
      <w:szCs w:val="16"/>
    </w:rPr>
  </w:style>
  <w:style w:type="character" w:customStyle="1" w:styleId="BalloonTextChar">
    <w:name w:val="Balloon Text Char"/>
    <w:basedOn w:val="DefaultParagraphFont"/>
    <w:link w:val="BalloonText"/>
    <w:uiPriority w:val="99"/>
    <w:semiHidden/>
    <w:rsid w:val="00BD6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49E"/>
    <w:rPr>
      <w:color w:val="0000FF"/>
      <w:u w:val="single"/>
    </w:rPr>
  </w:style>
  <w:style w:type="character" w:styleId="Strong">
    <w:name w:val="Strong"/>
    <w:basedOn w:val="DefaultParagraphFont"/>
    <w:uiPriority w:val="22"/>
    <w:qFormat/>
    <w:rsid w:val="00BD649E"/>
    <w:rPr>
      <w:b/>
      <w:bCs/>
    </w:rPr>
  </w:style>
  <w:style w:type="paragraph" w:styleId="BalloonText">
    <w:name w:val="Balloon Text"/>
    <w:basedOn w:val="Normal"/>
    <w:link w:val="BalloonTextChar"/>
    <w:uiPriority w:val="99"/>
    <w:semiHidden/>
    <w:unhideWhenUsed/>
    <w:rsid w:val="00BD649E"/>
    <w:rPr>
      <w:rFonts w:ascii="Tahoma" w:hAnsi="Tahoma" w:cs="Tahoma"/>
      <w:sz w:val="16"/>
      <w:szCs w:val="16"/>
    </w:rPr>
  </w:style>
  <w:style w:type="character" w:customStyle="1" w:styleId="BalloonTextChar">
    <w:name w:val="Balloon Text Char"/>
    <w:basedOn w:val="DefaultParagraphFont"/>
    <w:link w:val="BalloonText"/>
    <w:uiPriority w:val="99"/>
    <w:semiHidden/>
    <w:rsid w:val="00BD6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locked::http://www.ir-amim.org.il/" TargetMode="External"/><Relationship Id="rId3" Type="http://schemas.openxmlformats.org/officeDocument/2006/relationships/settings" Target="settings.xml"/><Relationship Id="rId7" Type="http://schemas.openxmlformats.org/officeDocument/2006/relationships/hyperlink" Target="mailto:betty@ir-amim.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ltro.co.il/newsletters/show/3787?key=962d3635162c305a9c572919cb499e5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ro.co.il/newsletters/cancel_newsletter?key=962d3635162c305a9c572919cb499e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Herschman</dc:creator>
  <cp:keywords/>
  <dc:description/>
  <cp:lastModifiedBy>Betty Herschman</cp:lastModifiedBy>
  <cp:revision>1</cp:revision>
  <dcterms:created xsi:type="dcterms:W3CDTF">2014-02-04T13:43:00Z</dcterms:created>
  <dcterms:modified xsi:type="dcterms:W3CDTF">2014-02-04T13:44:00Z</dcterms:modified>
</cp:coreProperties>
</file>